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5467" w14:textId="77777777" w:rsidR="00525553" w:rsidRDefault="00000000">
      <w:pPr>
        <w:pStyle w:val="1"/>
        <w:spacing w:line="360" w:lineRule="auto"/>
        <w:jc w:val="center"/>
        <w:rPr>
          <w:sz w:val="32"/>
          <w:szCs w:val="32"/>
        </w:rPr>
      </w:pPr>
      <w:r>
        <w:rPr>
          <w:rFonts w:hint="eastAsia"/>
          <w:sz w:val="32"/>
          <w:szCs w:val="32"/>
        </w:rPr>
        <w:t>矿冶过程智能优化制造全国重点实验室</w:t>
      </w:r>
    </w:p>
    <w:p w14:paraId="473EB308" w14:textId="77777777" w:rsidR="00525553" w:rsidRDefault="00000000">
      <w:pPr>
        <w:pStyle w:val="1"/>
        <w:spacing w:line="360" w:lineRule="auto"/>
        <w:jc w:val="center"/>
        <w:rPr>
          <w:sz w:val="32"/>
          <w:szCs w:val="32"/>
        </w:rPr>
      </w:pPr>
      <w:r>
        <w:rPr>
          <w:rFonts w:hint="eastAsia"/>
          <w:sz w:val="32"/>
          <w:szCs w:val="32"/>
        </w:rPr>
        <w:t>开放基金管理办法</w:t>
      </w:r>
    </w:p>
    <w:p w14:paraId="4B671BE9" w14:textId="77777777" w:rsidR="00525553" w:rsidRDefault="00000000">
      <w:pPr>
        <w:pStyle w:val="2"/>
        <w:spacing w:line="360" w:lineRule="auto"/>
        <w:jc w:val="center"/>
        <w:rPr>
          <w:sz w:val="28"/>
          <w:szCs w:val="28"/>
        </w:rPr>
      </w:pPr>
      <w:r>
        <w:rPr>
          <w:rFonts w:hint="eastAsia"/>
          <w:sz w:val="28"/>
          <w:szCs w:val="28"/>
        </w:rPr>
        <w:t>第一章</w:t>
      </w:r>
      <w:r>
        <w:rPr>
          <w:rFonts w:hint="eastAsia"/>
          <w:sz w:val="28"/>
          <w:szCs w:val="28"/>
        </w:rPr>
        <w:t xml:space="preserve"> </w:t>
      </w:r>
      <w:r>
        <w:rPr>
          <w:rFonts w:hint="eastAsia"/>
          <w:sz w:val="28"/>
          <w:szCs w:val="28"/>
        </w:rPr>
        <w:t>总则</w:t>
      </w:r>
    </w:p>
    <w:p w14:paraId="4DA6A9F6"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为更好地贯彻、落实全国重点实验室</w:t>
      </w:r>
      <w:r>
        <w:rPr>
          <w:rFonts w:hint="eastAsia"/>
          <w:sz w:val="24"/>
          <w:szCs w:val="24"/>
        </w:rPr>
        <w:t xml:space="preserve"> </w:t>
      </w:r>
      <w:r>
        <w:rPr>
          <w:rFonts w:hint="eastAsia"/>
          <w:sz w:val="24"/>
          <w:szCs w:val="24"/>
        </w:rPr>
        <w:t>“开放、流动、联合、竞争”的运行机制，加强矿冶过程自动化、信息化领域基础科学、应用基础科学的研发，促进我国矿冶过程自动化、智能化技术的进步，矿冶过程智能优化制造全国重点实验室（以下简称“重点实验室”）特设立开放基金，资助相关领域的研究开发工作。为规范和加强开放基金的管理，营造良好环境，激励创新，凝聚和培养科技人才，特制定本办法。</w:t>
      </w:r>
    </w:p>
    <w:p w14:paraId="0DD326ED"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开放基金项目的立项、审批和管理由重点实验室负责，重点实验室依托单位矿冶科技集团有限公司（以下简称“矿冶集团”）负责监督管理。</w:t>
      </w:r>
    </w:p>
    <w:p w14:paraId="7888FC6E" w14:textId="77777777" w:rsidR="00525553" w:rsidRDefault="00000000">
      <w:pPr>
        <w:pStyle w:val="2"/>
        <w:spacing w:line="360" w:lineRule="auto"/>
        <w:jc w:val="center"/>
        <w:rPr>
          <w:sz w:val="28"/>
          <w:szCs w:val="28"/>
        </w:rPr>
      </w:pPr>
      <w:r>
        <w:rPr>
          <w:rFonts w:hint="eastAsia"/>
          <w:sz w:val="28"/>
          <w:szCs w:val="28"/>
        </w:rPr>
        <w:t>第二章</w:t>
      </w:r>
      <w:r>
        <w:rPr>
          <w:rFonts w:hint="eastAsia"/>
          <w:sz w:val="28"/>
          <w:szCs w:val="28"/>
        </w:rPr>
        <w:t xml:space="preserve"> </w:t>
      </w:r>
      <w:r>
        <w:rPr>
          <w:rFonts w:hint="eastAsia"/>
          <w:sz w:val="28"/>
          <w:szCs w:val="28"/>
        </w:rPr>
        <w:t>申请与审批</w:t>
      </w:r>
    </w:p>
    <w:p w14:paraId="3A48F9DA"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重点实验室根据矿物加工领域及矿冶过程自动化、信息化领域科学发展趋势和国家、行业长远发展需求，每年制定优先资助领域和项目指南等，公开向社会发布，引导项目申请。开放基金项目来源有三种：</w:t>
      </w:r>
    </w:p>
    <w:p w14:paraId="1CA5FDA2" w14:textId="77777777" w:rsidR="00525553" w:rsidRDefault="00000000">
      <w:pPr>
        <w:pStyle w:val="10"/>
        <w:spacing w:beforeLines="50" w:before="156" w:afterLines="50" w:after="156" w:line="360" w:lineRule="auto"/>
        <w:ind w:left="485" w:firstLineChars="0" w:firstLine="0"/>
        <w:rPr>
          <w:sz w:val="24"/>
          <w:szCs w:val="24"/>
        </w:rPr>
      </w:pPr>
      <w:r w:rsidRPr="00E10BDB">
        <w:rPr>
          <w:sz w:val="24"/>
          <w:szCs w:val="24"/>
        </w:rPr>
        <w:t>(1)</w:t>
      </w:r>
      <w:r>
        <w:rPr>
          <w:rFonts w:hint="eastAsia"/>
          <w:sz w:val="24"/>
          <w:szCs w:val="24"/>
        </w:rPr>
        <w:t>重点实验室提出的科研项目</w:t>
      </w:r>
      <w:r>
        <w:rPr>
          <w:rFonts w:hint="eastAsia"/>
          <w:sz w:val="24"/>
          <w:szCs w:val="24"/>
        </w:rPr>
        <w:t>;</w:t>
      </w:r>
    </w:p>
    <w:p w14:paraId="26FFF6BC" w14:textId="77777777" w:rsidR="00525553" w:rsidRDefault="00000000">
      <w:pPr>
        <w:pStyle w:val="10"/>
        <w:spacing w:beforeLines="50" w:before="156" w:afterLines="50" w:after="156" w:line="360" w:lineRule="auto"/>
        <w:ind w:left="485" w:firstLineChars="0" w:firstLine="0"/>
        <w:rPr>
          <w:sz w:val="24"/>
          <w:szCs w:val="24"/>
        </w:rPr>
      </w:pPr>
      <w:r>
        <w:rPr>
          <w:rFonts w:hint="eastAsia"/>
          <w:sz w:val="24"/>
          <w:szCs w:val="24"/>
        </w:rPr>
        <w:t>(2)</w:t>
      </w:r>
      <w:r>
        <w:rPr>
          <w:rFonts w:hint="eastAsia"/>
          <w:sz w:val="24"/>
          <w:szCs w:val="24"/>
        </w:rPr>
        <w:t>申请者自选并经重点实验室同意立项的科研项目</w:t>
      </w:r>
      <w:r>
        <w:rPr>
          <w:sz w:val="24"/>
          <w:szCs w:val="24"/>
        </w:rPr>
        <w:t>;</w:t>
      </w:r>
    </w:p>
    <w:p w14:paraId="44A95DB1" w14:textId="77777777" w:rsidR="00525553" w:rsidRDefault="00000000">
      <w:pPr>
        <w:pStyle w:val="10"/>
        <w:spacing w:beforeLines="50" w:before="156" w:afterLines="50" w:after="156" w:line="360" w:lineRule="auto"/>
        <w:ind w:left="485" w:firstLineChars="0" w:firstLine="0"/>
        <w:rPr>
          <w:sz w:val="24"/>
          <w:szCs w:val="24"/>
        </w:rPr>
      </w:pPr>
      <w:r>
        <w:rPr>
          <w:rFonts w:hint="eastAsia"/>
          <w:sz w:val="24"/>
          <w:szCs w:val="24"/>
        </w:rPr>
        <w:t>(3)</w:t>
      </w:r>
      <w:r>
        <w:rPr>
          <w:rFonts w:hint="eastAsia"/>
          <w:sz w:val="24"/>
          <w:szCs w:val="24"/>
        </w:rPr>
        <w:t>纳入重点实验室开放基金管理的其他科研项目。</w:t>
      </w:r>
    </w:p>
    <w:p w14:paraId="307C2F83"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lastRenderedPageBreak/>
        <w:t>开放基金项目的申请者一般应是具有高级技术职称或具有博士学历的国内外科技工作者（本重点实验室固定人员除外）。其他申请者需有两位高级职称人员书面推荐。</w:t>
      </w:r>
    </w:p>
    <w:p w14:paraId="273770C2"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申请者须按要求认真撰写申请书，保证申请材料的真实性。在职申请人所在单位须签署意见。</w:t>
      </w:r>
    </w:p>
    <w:p w14:paraId="14ED96D9"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重点实验室负责组织同行专家进行初评，组织重点实验室专家委员会专家进行会评，并根据会评意见确定是否资助及资助额度。</w:t>
      </w:r>
    </w:p>
    <w:p w14:paraId="79C0CA89"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对确定资助的项目，由矿冶集团与项目承担人签订项目任务书和技术开发</w:t>
      </w:r>
      <w:r>
        <w:rPr>
          <w:rFonts w:hint="eastAsia"/>
          <w:sz w:val="24"/>
          <w:szCs w:val="24"/>
        </w:rPr>
        <w:t>(</w:t>
      </w:r>
      <w:r>
        <w:rPr>
          <w:rFonts w:hint="eastAsia"/>
          <w:sz w:val="24"/>
          <w:szCs w:val="24"/>
        </w:rPr>
        <w:t>委托</w:t>
      </w:r>
      <w:r>
        <w:rPr>
          <w:rFonts w:hint="eastAsia"/>
          <w:sz w:val="24"/>
          <w:szCs w:val="24"/>
        </w:rPr>
        <w:t>)</w:t>
      </w:r>
      <w:r>
        <w:rPr>
          <w:rFonts w:hint="eastAsia"/>
          <w:sz w:val="24"/>
          <w:szCs w:val="24"/>
        </w:rPr>
        <w:t>合同。</w:t>
      </w:r>
    </w:p>
    <w:p w14:paraId="7426E373" w14:textId="77777777" w:rsidR="00525553" w:rsidRDefault="00000000">
      <w:pPr>
        <w:pStyle w:val="2"/>
        <w:spacing w:line="360" w:lineRule="auto"/>
        <w:jc w:val="center"/>
        <w:rPr>
          <w:sz w:val="28"/>
          <w:szCs w:val="28"/>
        </w:rPr>
      </w:pPr>
      <w:r>
        <w:rPr>
          <w:rFonts w:hint="eastAsia"/>
          <w:sz w:val="28"/>
          <w:szCs w:val="28"/>
        </w:rPr>
        <w:t>第三章</w:t>
      </w:r>
      <w:r>
        <w:rPr>
          <w:rFonts w:hint="eastAsia"/>
          <w:sz w:val="28"/>
          <w:szCs w:val="28"/>
        </w:rPr>
        <w:t xml:space="preserve"> </w:t>
      </w:r>
      <w:r>
        <w:rPr>
          <w:rFonts w:hint="eastAsia"/>
          <w:sz w:val="28"/>
          <w:szCs w:val="28"/>
        </w:rPr>
        <w:t>经费使用与管理</w:t>
      </w:r>
    </w:p>
    <w:p w14:paraId="12F0B262"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开放基金项目的资助额度一般为</w:t>
      </w:r>
      <w:r>
        <w:rPr>
          <w:rFonts w:hint="eastAsia"/>
          <w:sz w:val="24"/>
          <w:szCs w:val="24"/>
        </w:rPr>
        <w:t>5</w:t>
      </w:r>
      <w:r>
        <w:rPr>
          <w:rFonts w:hint="eastAsia"/>
          <w:sz w:val="24"/>
          <w:szCs w:val="24"/>
        </w:rPr>
        <w:t>～</w:t>
      </w:r>
      <w:r>
        <w:rPr>
          <w:rFonts w:hint="eastAsia"/>
          <w:sz w:val="24"/>
          <w:szCs w:val="24"/>
        </w:rPr>
        <w:t>10</w:t>
      </w:r>
      <w:r>
        <w:rPr>
          <w:rFonts w:hint="eastAsia"/>
          <w:sz w:val="24"/>
          <w:szCs w:val="24"/>
        </w:rPr>
        <w:t>万元</w:t>
      </w:r>
      <w:r>
        <w:rPr>
          <w:rFonts w:hint="eastAsia"/>
          <w:sz w:val="24"/>
          <w:szCs w:val="24"/>
        </w:rPr>
        <w:t>/</w:t>
      </w:r>
      <w:r>
        <w:rPr>
          <w:rFonts w:hint="eastAsia"/>
          <w:sz w:val="24"/>
          <w:szCs w:val="24"/>
        </w:rPr>
        <w:t>项，海外学者资助额度可提高至</w:t>
      </w:r>
      <w:r>
        <w:rPr>
          <w:sz w:val="24"/>
          <w:szCs w:val="24"/>
        </w:rPr>
        <w:t>1</w:t>
      </w:r>
      <w:r>
        <w:rPr>
          <w:rFonts w:hint="eastAsia"/>
          <w:sz w:val="24"/>
          <w:szCs w:val="24"/>
        </w:rPr>
        <w:t>5</w:t>
      </w:r>
      <w:r>
        <w:rPr>
          <w:rFonts w:hint="eastAsia"/>
          <w:sz w:val="24"/>
          <w:szCs w:val="24"/>
        </w:rPr>
        <w:t>万元</w:t>
      </w:r>
      <w:r>
        <w:rPr>
          <w:sz w:val="24"/>
          <w:szCs w:val="24"/>
        </w:rPr>
        <w:t>/</w:t>
      </w:r>
      <w:r>
        <w:rPr>
          <w:sz w:val="24"/>
          <w:szCs w:val="24"/>
        </w:rPr>
        <w:t>项。</w:t>
      </w:r>
      <w:r>
        <w:rPr>
          <w:rFonts w:hint="eastAsia"/>
          <w:sz w:val="24"/>
          <w:szCs w:val="24"/>
        </w:rPr>
        <w:t>对个别项目，经重点实验室同意可连续支持，支持总次数不超过</w:t>
      </w:r>
      <w:r>
        <w:rPr>
          <w:rFonts w:hint="eastAsia"/>
          <w:sz w:val="24"/>
          <w:szCs w:val="24"/>
        </w:rPr>
        <w:t>2</w:t>
      </w:r>
      <w:r>
        <w:rPr>
          <w:rFonts w:hint="eastAsia"/>
          <w:sz w:val="24"/>
          <w:szCs w:val="24"/>
        </w:rPr>
        <w:t>次。</w:t>
      </w:r>
    </w:p>
    <w:p w14:paraId="36F819F7"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项目经费采取直接拨付和核准报销两种形式。对项目承担人有工作单位的项目，采取拨付的形式；对承担人没有工作单位的项目采取核准报销的形式。</w:t>
      </w:r>
    </w:p>
    <w:p w14:paraId="6708F3B1"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经费拨付到承担人单位的项目，承担单位需独立建账</w:t>
      </w:r>
      <w:r>
        <w:rPr>
          <w:rFonts w:hint="eastAsia"/>
          <w:sz w:val="24"/>
          <w:szCs w:val="24"/>
        </w:rPr>
        <w:t>,</w:t>
      </w:r>
      <w:r>
        <w:rPr>
          <w:rFonts w:hint="eastAsia"/>
          <w:sz w:val="24"/>
          <w:szCs w:val="24"/>
        </w:rPr>
        <w:t>在项目结题时，承担人所在单位财务部门需出具经费使用明细账，以供财务审计。</w:t>
      </w:r>
    </w:p>
    <w:p w14:paraId="5D79BAC5" w14:textId="77777777" w:rsidR="00525553" w:rsidRPr="00E10BDB"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项目经费一律用作研究经费，即直接用于科学研究的费用，包括：</w:t>
      </w:r>
      <w:r w:rsidRPr="00E10BDB">
        <w:rPr>
          <w:rFonts w:hint="eastAsia"/>
          <w:sz w:val="24"/>
          <w:szCs w:val="24"/>
        </w:rPr>
        <w:t>差旅费、测试费、材料费、文献出版费等。</w:t>
      </w:r>
    </w:p>
    <w:p w14:paraId="21FEFFDE"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lastRenderedPageBreak/>
        <w:t>项目负责人应按照本办法规定，本着实事求是、合理计划的原则</w:t>
      </w:r>
      <w:r>
        <w:rPr>
          <w:rFonts w:hint="eastAsia"/>
          <w:sz w:val="24"/>
          <w:szCs w:val="24"/>
        </w:rPr>
        <w:t>,</w:t>
      </w:r>
      <w:r>
        <w:rPr>
          <w:rFonts w:hint="eastAsia"/>
          <w:sz w:val="24"/>
          <w:szCs w:val="24"/>
        </w:rPr>
        <w:t>编制切合实际的项目资助经费预算说明书。</w:t>
      </w:r>
    </w:p>
    <w:p w14:paraId="4EAABB7E" w14:textId="4B92EB63" w:rsidR="00525553" w:rsidRDefault="00000000">
      <w:pPr>
        <w:pStyle w:val="2"/>
        <w:spacing w:line="360" w:lineRule="auto"/>
        <w:jc w:val="center"/>
        <w:rPr>
          <w:sz w:val="28"/>
          <w:szCs w:val="28"/>
        </w:rPr>
      </w:pPr>
      <w:r>
        <w:rPr>
          <w:rFonts w:hint="eastAsia"/>
          <w:sz w:val="28"/>
          <w:szCs w:val="28"/>
        </w:rPr>
        <w:t>第</w:t>
      </w:r>
      <w:r w:rsidR="00FA45EF">
        <w:rPr>
          <w:rFonts w:hint="eastAsia"/>
          <w:sz w:val="28"/>
          <w:szCs w:val="28"/>
        </w:rPr>
        <w:t>四</w:t>
      </w:r>
      <w:r>
        <w:rPr>
          <w:rFonts w:hint="eastAsia"/>
          <w:sz w:val="28"/>
          <w:szCs w:val="28"/>
        </w:rPr>
        <w:t>章</w:t>
      </w:r>
      <w:r>
        <w:rPr>
          <w:rFonts w:hint="eastAsia"/>
          <w:sz w:val="28"/>
          <w:szCs w:val="28"/>
        </w:rPr>
        <w:t xml:space="preserve"> </w:t>
      </w:r>
      <w:r>
        <w:rPr>
          <w:rFonts w:hint="eastAsia"/>
          <w:sz w:val="28"/>
          <w:szCs w:val="28"/>
        </w:rPr>
        <w:t>实施与管理</w:t>
      </w:r>
    </w:p>
    <w:p w14:paraId="06E7B46F" w14:textId="055500E0"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开放基金项目一般在</w:t>
      </w:r>
      <w:r>
        <w:rPr>
          <w:rFonts w:hint="eastAsia"/>
          <w:sz w:val="24"/>
          <w:szCs w:val="24"/>
        </w:rPr>
        <w:t xml:space="preserve"> 1</w:t>
      </w:r>
      <w:r w:rsidR="0015728E">
        <w:rPr>
          <w:rFonts w:hint="eastAsia"/>
          <w:sz w:val="24"/>
          <w:szCs w:val="24"/>
        </w:rPr>
        <w:t>～</w:t>
      </w:r>
      <w:r>
        <w:rPr>
          <w:rFonts w:hint="eastAsia"/>
          <w:sz w:val="24"/>
          <w:szCs w:val="24"/>
        </w:rPr>
        <w:t xml:space="preserve">2 </w:t>
      </w:r>
      <w:r>
        <w:rPr>
          <w:rFonts w:hint="eastAsia"/>
          <w:sz w:val="24"/>
          <w:szCs w:val="24"/>
        </w:rPr>
        <w:t>年内完成，特殊情况不超过</w:t>
      </w:r>
      <w:r>
        <w:rPr>
          <w:rFonts w:hint="eastAsia"/>
          <w:sz w:val="24"/>
          <w:szCs w:val="24"/>
        </w:rPr>
        <w:t xml:space="preserve"> 3 </w:t>
      </w:r>
      <w:r>
        <w:rPr>
          <w:rFonts w:hint="eastAsia"/>
          <w:sz w:val="24"/>
          <w:szCs w:val="24"/>
        </w:rPr>
        <w:t>年。资助金额采用一次核定按年度分期拨付。</w:t>
      </w:r>
    </w:p>
    <w:p w14:paraId="0201A9C5"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重点实验室负责开放基金项目的执行过程管理。</w:t>
      </w:r>
    </w:p>
    <w:p w14:paraId="14DA9AD3"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项目负责人全面负责开放基金项目的实施，包括按资助批准通知的要求编写项目研究计划与经费预算，定期向重点实验室书面报告项目的执行和进展情况等，跨年度项目每年年底提交年度执行情况报告，并填写下年度研究计划表。凡涉及项目研究计划、研究队伍、经费使用及项目依托单位等重要变动，须报重点实验室核准。</w:t>
      </w:r>
    </w:p>
    <w:p w14:paraId="2172433C"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项目结束后一个月内向重点实验室提交研究工作总结、学术论文或研究报告。</w:t>
      </w:r>
    </w:p>
    <w:p w14:paraId="378A1037" w14:textId="77777777"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开放基金资助项目所获得的成果由实验室和申请者及其所在单位共享，论文署名单位须包括矿冶过程智能优化制造全国重点实验室（英文名称为</w:t>
      </w:r>
      <w:r>
        <w:rPr>
          <w:sz w:val="24"/>
          <w:szCs w:val="24"/>
        </w:rPr>
        <w:t>（</w:t>
      </w:r>
      <w:r>
        <w:rPr>
          <w:sz w:val="24"/>
          <w:szCs w:val="24"/>
        </w:rPr>
        <w:t>State Key Laboratory of Intelligent Optimized Manufacturing in Mining &amp; Metallurgy Process</w:t>
      </w:r>
      <w:r>
        <w:rPr>
          <w:rFonts w:hint="eastAsia"/>
          <w:sz w:val="24"/>
          <w:szCs w:val="24"/>
        </w:rPr>
        <w:t>）（至少为第二单位）。项目相关成果或论文发表必须标注“矿冶过程智能优化制造全国重点实验室开放基金资助”，英文论文应标注“</w:t>
      </w:r>
      <w:r>
        <w:rPr>
          <w:rFonts w:hint="eastAsia"/>
          <w:sz w:val="24"/>
          <w:szCs w:val="24"/>
        </w:rPr>
        <w:t xml:space="preserve">Funded by Open Foundation of </w:t>
      </w:r>
      <w:r>
        <w:rPr>
          <w:sz w:val="24"/>
          <w:szCs w:val="24"/>
        </w:rPr>
        <w:t>State Key Laboratory of Intelligent Optimized Manufacturing in Mining &amp; Metallurgy Process</w:t>
      </w:r>
      <w:r>
        <w:rPr>
          <w:rFonts w:hint="eastAsia"/>
          <w:sz w:val="24"/>
          <w:szCs w:val="24"/>
        </w:rPr>
        <w:t>”。</w:t>
      </w:r>
    </w:p>
    <w:p w14:paraId="469CE965" w14:textId="3BD86450"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lastRenderedPageBreak/>
        <w:t>开放基金项目负责人在研发过程中应遵守以下条款，否则重点实验室有权视其情节轻重给予中止或撤消项目等处理：</w:t>
      </w:r>
    </w:p>
    <w:p w14:paraId="0CB29240" w14:textId="77777777" w:rsidR="00525553" w:rsidRDefault="00000000">
      <w:pPr>
        <w:pStyle w:val="10"/>
        <w:numPr>
          <w:ilvl w:val="0"/>
          <w:numId w:val="2"/>
        </w:numPr>
        <w:spacing w:line="360" w:lineRule="auto"/>
        <w:ind w:left="0" w:firstLineChars="0" w:firstLine="709"/>
        <w:rPr>
          <w:sz w:val="24"/>
          <w:szCs w:val="24"/>
        </w:rPr>
      </w:pPr>
      <w:r>
        <w:rPr>
          <w:rFonts w:hint="eastAsia"/>
          <w:sz w:val="24"/>
          <w:szCs w:val="24"/>
        </w:rPr>
        <w:t>遵守科学道德，实事求是；</w:t>
      </w:r>
    </w:p>
    <w:p w14:paraId="39A14A76" w14:textId="778D2BCC" w:rsidR="00525553" w:rsidRDefault="00000000">
      <w:pPr>
        <w:pStyle w:val="10"/>
        <w:numPr>
          <w:ilvl w:val="0"/>
          <w:numId w:val="2"/>
        </w:numPr>
        <w:spacing w:line="360" w:lineRule="auto"/>
        <w:ind w:left="0" w:firstLineChars="0" w:firstLine="709"/>
        <w:rPr>
          <w:sz w:val="24"/>
          <w:szCs w:val="24"/>
        </w:rPr>
      </w:pPr>
      <w:r>
        <w:rPr>
          <w:rFonts w:hint="eastAsia"/>
          <w:sz w:val="24"/>
          <w:szCs w:val="24"/>
        </w:rPr>
        <w:t>按照项目研究计划，认</w:t>
      </w:r>
      <w:r w:rsidR="003B6591">
        <w:rPr>
          <w:rFonts w:hint="eastAsia"/>
          <w:sz w:val="24"/>
          <w:szCs w:val="24"/>
        </w:rPr>
        <w:t>真</w:t>
      </w:r>
      <w:r>
        <w:rPr>
          <w:rFonts w:hint="eastAsia"/>
          <w:sz w:val="24"/>
          <w:szCs w:val="24"/>
        </w:rPr>
        <w:t>开展研究工作；</w:t>
      </w:r>
    </w:p>
    <w:p w14:paraId="7BB266F5" w14:textId="15DABAF2" w:rsidR="00525553" w:rsidRDefault="00000000">
      <w:pPr>
        <w:pStyle w:val="10"/>
        <w:numPr>
          <w:ilvl w:val="0"/>
          <w:numId w:val="2"/>
        </w:numPr>
        <w:spacing w:line="360" w:lineRule="auto"/>
        <w:ind w:left="0" w:firstLineChars="0" w:firstLine="709"/>
        <w:rPr>
          <w:sz w:val="24"/>
          <w:szCs w:val="24"/>
        </w:rPr>
      </w:pPr>
      <w:r>
        <w:rPr>
          <w:rFonts w:hint="eastAsia"/>
          <w:sz w:val="24"/>
          <w:szCs w:val="24"/>
        </w:rPr>
        <w:t>按</w:t>
      </w:r>
      <w:r w:rsidR="003B6591">
        <w:rPr>
          <w:rFonts w:hint="eastAsia"/>
          <w:sz w:val="24"/>
          <w:szCs w:val="24"/>
        </w:rPr>
        <w:t>照</w:t>
      </w:r>
      <w:r>
        <w:rPr>
          <w:rFonts w:hint="eastAsia"/>
          <w:sz w:val="24"/>
          <w:szCs w:val="24"/>
        </w:rPr>
        <w:t>重点实验</w:t>
      </w:r>
      <w:r w:rsidR="003B6591">
        <w:rPr>
          <w:rFonts w:hint="eastAsia"/>
          <w:sz w:val="24"/>
          <w:szCs w:val="24"/>
        </w:rPr>
        <w:t>室</w:t>
      </w:r>
      <w:r>
        <w:rPr>
          <w:rFonts w:hint="eastAsia"/>
          <w:sz w:val="24"/>
          <w:szCs w:val="24"/>
        </w:rPr>
        <w:t>要求上报项目执行情况，接受重点实验室对项目实施情况的检查、监督与审计；</w:t>
      </w:r>
    </w:p>
    <w:p w14:paraId="0624B9E5" w14:textId="77777777" w:rsidR="00525553" w:rsidRDefault="00000000">
      <w:pPr>
        <w:pStyle w:val="10"/>
        <w:numPr>
          <w:ilvl w:val="0"/>
          <w:numId w:val="2"/>
        </w:numPr>
        <w:spacing w:line="360" w:lineRule="auto"/>
        <w:ind w:left="0" w:firstLineChars="0" w:firstLine="709"/>
        <w:rPr>
          <w:sz w:val="24"/>
          <w:szCs w:val="24"/>
        </w:rPr>
      </w:pPr>
      <w:r>
        <w:rPr>
          <w:rFonts w:hint="eastAsia"/>
          <w:sz w:val="24"/>
          <w:szCs w:val="24"/>
        </w:rPr>
        <w:t>项目资助经费的使用严格遵守有关财政、财务制度的规定。</w:t>
      </w:r>
    </w:p>
    <w:p w14:paraId="49FC4774" w14:textId="476B739D" w:rsidR="00525553" w:rsidRDefault="00000000">
      <w:pPr>
        <w:pStyle w:val="2"/>
        <w:spacing w:line="360" w:lineRule="auto"/>
        <w:jc w:val="center"/>
        <w:rPr>
          <w:sz w:val="28"/>
          <w:szCs w:val="28"/>
        </w:rPr>
      </w:pPr>
      <w:r>
        <w:rPr>
          <w:rFonts w:hint="eastAsia"/>
          <w:sz w:val="28"/>
          <w:szCs w:val="28"/>
        </w:rPr>
        <w:t>第</w:t>
      </w:r>
      <w:r w:rsidR="00FA45EF">
        <w:rPr>
          <w:rFonts w:hint="eastAsia"/>
          <w:sz w:val="28"/>
          <w:szCs w:val="28"/>
        </w:rPr>
        <w:t>五</w:t>
      </w:r>
      <w:r>
        <w:rPr>
          <w:rFonts w:hint="eastAsia"/>
          <w:sz w:val="28"/>
          <w:szCs w:val="28"/>
        </w:rPr>
        <w:t>章</w:t>
      </w:r>
      <w:r>
        <w:rPr>
          <w:rFonts w:hint="eastAsia"/>
          <w:sz w:val="28"/>
          <w:szCs w:val="28"/>
        </w:rPr>
        <w:t xml:space="preserve"> </w:t>
      </w:r>
      <w:r>
        <w:rPr>
          <w:rFonts w:hint="eastAsia"/>
          <w:sz w:val="28"/>
          <w:szCs w:val="28"/>
        </w:rPr>
        <w:t>附</w:t>
      </w:r>
      <w:r>
        <w:rPr>
          <w:rFonts w:hint="eastAsia"/>
          <w:sz w:val="28"/>
          <w:szCs w:val="28"/>
        </w:rPr>
        <w:t xml:space="preserve"> </w:t>
      </w:r>
      <w:r>
        <w:rPr>
          <w:rFonts w:hint="eastAsia"/>
          <w:sz w:val="28"/>
          <w:szCs w:val="28"/>
        </w:rPr>
        <w:t>则</w:t>
      </w:r>
    </w:p>
    <w:p w14:paraId="6E4E0EFF" w14:textId="7810EC3C"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 xml:space="preserve"> </w:t>
      </w:r>
      <w:r>
        <w:rPr>
          <w:rFonts w:hint="eastAsia"/>
          <w:sz w:val="24"/>
          <w:szCs w:val="24"/>
        </w:rPr>
        <w:t>本</w:t>
      </w:r>
      <w:r w:rsidR="003B6591">
        <w:rPr>
          <w:rFonts w:hint="eastAsia"/>
          <w:sz w:val="24"/>
          <w:szCs w:val="24"/>
        </w:rPr>
        <w:t>办法</w:t>
      </w:r>
      <w:r>
        <w:rPr>
          <w:rFonts w:hint="eastAsia"/>
          <w:sz w:val="24"/>
          <w:szCs w:val="24"/>
        </w:rPr>
        <w:t>由重点实验室负责解释。</w:t>
      </w:r>
    </w:p>
    <w:p w14:paraId="43A22F05" w14:textId="58EBC901" w:rsidR="00525553" w:rsidRDefault="00000000">
      <w:pPr>
        <w:pStyle w:val="10"/>
        <w:numPr>
          <w:ilvl w:val="0"/>
          <w:numId w:val="1"/>
        </w:numPr>
        <w:spacing w:beforeLines="50" w:before="156" w:afterLines="50" w:after="156" w:line="360" w:lineRule="auto"/>
        <w:ind w:left="0" w:firstLineChars="202" w:firstLine="485"/>
        <w:rPr>
          <w:sz w:val="24"/>
          <w:szCs w:val="24"/>
        </w:rPr>
      </w:pPr>
      <w:r>
        <w:rPr>
          <w:rFonts w:hint="eastAsia"/>
          <w:sz w:val="24"/>
          <w:szCs w:val="24"/>
        </w:rPr>
        <w:t xml:space="preserve"> </w:t>
      </w:r>
      <w:r>
        <w:rPr>
          <w:rFonts w:hint="eastAsia"/>
          <w:sz w:val="24"/>
          <w:szCs w:val="24"/>
        </w:rPr>
        <w:t>本</w:t>
      </w:r>
      <w:r w:rsidR="003B6591">
        <w:rPr>
          <w:rFonts w:hint="eastAsia"/>
          <w:sz w:val="24"/>
          <w:szCs w:val="24"/>
        </w:rPr>
        <w:t>办法</w:t>
      </w:r>
      <w:r>
        <w:rPr>
          <w:rFonts w:hint="eastAsia"/>
          <w:sz w:val="24"/>
          <w:szCs w:val="24"/>
        </w:rPr>
        <w:t>自发布之日起生效。</w:t>
      </w:r>
    </w:p>
    <w:p w14:paraId="3FF29953" w14:textId="77777777" w:rsidR="00525553" w:rsidRDefault="00525553">
      <w:pPr>
        <w:ind w:right="560"/>
        <w:jc w:val="center"/>
        <w:rPr>
          <w:rFonts w:ascii="仿宋" w:eastAsia="仿宋" w:hAnsi="仿宋"/>
          <w:sz w:val="28"/>
          <w:szCs w:val="28"/>
        </w:rPr>
      </w:pPr>
    </w:p>
    <w:sectPr w:rsidR="00525553">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8CCE" w14:textId="77777777" w:rsidR="008E16F0" w:rsidRDefault="008E16F0">
      <w:r>
        <w:separator/>
      </w:r>
    </w:p>
  </w:endnote>
  <w:endnote w:type="continuationSeparator" w:id="0">
    <w:p w14:paraId="34B33293" w14:textId="77777777" w:rsidR="008E16F0" w:rsidRDefault="008E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500D" w14:textId="77777777" w:rsidR="00525553" w:rsidRDefault="00000000">
    <w:pPr>
      <w:pStyle w:val="a5"/>
    </w:pPr>
    <w:r>
      <w:rPr>
        <w:noProof/>
      </w:rPr>
      <mc:AlternateContent>
        <mc:Choice Requires="wps">
          <w:drawing>
            <wp:anchor distT="0" distB="0" distL="114300" distR="114300" simplePos="0" relativeHeight="251658240" behindDoc="0" locked="0" layoutInCell="1" allowOverlap="1" wp14:anchorId="47C2E4B0" wp14:editId="1ACC1439">
              <wp:simplePos x="0" y="0"/>
              <wp:positionH relativeFrom="margin">
                <wp:align>center</wp:align>
              </wp:positionH>
              <wp:positionV relativeFrom="paragraph">
                <wp:posOffset>0</wp:posOffset>
              </wp:positionV>
              <wp:extent cx="508635" cy="263525"/>
              <wp:effectExtent l="0" t="0" r="0" b="13335"/>
              <wp:wrapNone/>
              <wp:docPr id="3" name="文本框 3"/>
              <wp:cNvGraphicFramePr/>
              <a:graphic xmlns:a="http://schemas.openxmlformats.org/drawingml/2006/main">
                <a:graphicData uri="http://schemas.microsoft.com/office/word/2010/wordprocessingShape">
                  <wps:wsp>
                    <wps:cNvSpPr txBox="1"/>
                    <wps:spPr>
                      <a:xfrm>
                        <a:off x="0" y="0"/>
                        <a:ext cx="508635" cy="263525"/>
                      </a:xfrm>
                      <a:prstGeom prst="rect">
                        <a:avLst/>
                      </a:prstGeom>
                      <a:noFill/>
                      <a:ln w="9525">
                        <a:noFill/>
                        <a:miter/>
                      </a:ln>
                    </wps:spPr>
                    <wps:txbx>
                      <w:txbxContent>
                        <w:p w14:paraId="223091D8" w14:textId="77777777" w:rsidR="0052555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wrap="none" lIns="0" tIns="0" rIns="0" bIns="0">
                      <a:spAutoFit/>
                    </wps:bodyPr>
                  </wps:wsp>
                </a:graphicData>
              </a:graphic>
            </wp:anchor>
          </w:drawing>
        </mc:Choice>
        <mc:Fallback>
          <w:pict>
            <v:shapetype w14:anchorId="47C2E4B0" id="_x0000_t202" coordsize="21600,21600" o:spt="202" path="m,l,21600r21600,l21600,xe">
              <v:stroke joinstyle="miter"/>
              <v:path gradientshapeok="t" o:connecttype="rect"/>
            </v:shapetype>
            <v:shape id="文本框 3" o:spid="_x0000_s1026" type="#_x0000_t202" style="position:absolute;margin-left:0;margin-top:0;width:40.05pt;height:20.7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" filled="f" stroked="f">
              <v:textbox style="mso-fit-shape-to-text:t" inset="0,0,0,0">
                <w:txbxContent>
                  <w:p w14:paraId="223091D8" w14:textId="77777777" w:rsidR="0052555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9E59" w14:textId="77777777" w:rsidR="008E16F0" w:rsidRDefault="008E16F0">
      <w:r>
        <w:separator/>
      </w:r>
    </w:p>
  </w:footnote>
  <w:footnote w:type="continuationSeparator" w:id="0">
    <w:p w14:paraId="0FBAF931" w14:textId="77777777" w:rsidR="008E16F0" w:rsidRDefault="008E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71BB"/>
    <w:multiLevelType w:val="multilevel"/>
    <w:tmpl w:val="1B8C71BB"/>
    <w:lvl w:ilvl="0">
      <w:start w:val="1"/>
      <w:numFmt w:val="chineseCountingThousand"/>
      <w:lvlText w:val="第%1条"/>
      <w:lvlJc w:val="left"/>
      <w:pPr>
        <w:ind w:left="846" w:hanging="420"/>
      </w:pPr>
      <w:rPr>
        <w:rFonts w:hint="eastAsia"/>
        <w:b/>
        <w:i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48065F47"/>
    <w:multiLevelType w:val="multilevel"/>
    <w:tmpl w:val="48065F47"/>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1346447121">
    <w:abstractNumId w:val="0"/>
  </w:num>
  <w:num w:numId="2" w16cid:durableId="867569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99"/>
    <w:rsid w:val="0000367F"/>
    <w:rsid w:val="000664E4"/>
    <w:rsid w:val="000F7383"/>
    <w:rsid w:val="0015728E"/>
    <w:rsid w:val="00166646"/>
    <w:rsid w:val="001E061C"/>
    <w:rsid w:val="00207E3A"/>
    <w:rsid w:val="002D4BCF"/>
    <w:rsid w:val="00343736"/>
    <w:rsid w:val="00372FE0"/>
    <w:rsid w:val="003B6591"/>
    <w:rsid w:val="004D5B32"/>
    <w:rsid w:val="004E7B86"/>
    <w:rsid w:val="00525553"/>
    <w:rsid w:val="00565A0F"/>
    <w:rsid w:val="005747EC"/>
    <w:rsid w:val="00757C26"/>
    <w:rsid w:val="0076579A"/>
    <w:rsid w:val="0079081E"/>
    <w:rsid w:val="007D06B5"/>
    <w:rsid w:val="008C4EEE"/>
    <w:rsid w:val="008C68D3"/>
    <w:rsid w:val="008E16F0"/>
    <w:rsid w:val="00955847"/>
    <w:rsid w:val="00AA4AC8"/>
    <w:rsid w:val="00B922EE"/>
    <w:rsid w:val="00CE761E"/>
    <w:rsid w:val="00D44E7C"/>
    <w:rsid w:val="00DC1C76"/>
    <w:rsid w:val="00DD6F26"/>
    <w:rsid w:val="00E10BDB"/>
    <w:rsid w:val="00EC6B00"/>
    <w:rsid w:val="00ED1513"/>
    <w:rsid w:val="00F01D43"/>
    <w:rsid w:val="00F05799"/>
    <w:rsid w:val="00FA45EF"/>
    <w:rsid w:val="00FF2DA6"/>
    <w:rsid w:val="059576B4"/>
    <w:rsid w:val="05C017FD"/>
    <w:rsid w:val="0B2515D4"/>
    <w:rsid w:val="0BA7412C"/>
    <w:rsid w:val="10123CEB"/>
    <w:rsid w:val="12745A53"/>
    <w:rsid w:val="127C08E1"/>
    <w:rsid w:val="16103CC1"/>
    <w:rsid w:val="16E21E1B"/>
    <w:rsid w:val="189D42EF"/>
    <w:rsid w:val="18B121DE"/>
    <w:rsid w:val="1AA85649"/>
    <w:rsid w:val="1B9B1759"/>
    <w:rsid w:val="24B6214F"/>
    <w:rsid w:val="260512EE"/>
    <w:rsid w:val="286036CB"/>
    <w:rsid w:val="2A70393F"/>
    <w:rsid w:val="2AC25434"/>
    <w:rsid w:val="2E5F36A1"/>
    <w:rsid w:val="2E83217C"/>
    <w:rsid w:val="2ED1015D"/>
    <w:rsid w:val="36C8026D"/>
    <w:rsid w:val="3911678C"/>
    <w:rsid w:val="3AB62A61"/>
    <w:rsid w:val="3ABD23EC"/>
    <w:rsid w:val="3CC44D40"/>
    <w:rsid w:val="3D301E70"/>
    <w:rsid w:val="432824BB"/>
    <w:rsid w:val="44BA73CE"/>
    <w:rsid w:val="44DC0C08"/>
    <w:rsid w:val="4D7A49A9"/>
    <w:rsid w:val="4EDA10ED"/>
    <w:rsid w:val="50525457"/>
    <w:rsid w:val="536A2B9D"/>
    <w:rsid w:val="5378497F"/>
    <w:rsid w:val="547D09A9"/>
    <w:rsid w:val="54AE49FC"/>
    <w:rsid w:val="55E31575"/>
    <w:rsid w:val="5ACE0789"/>
    <w:rsid w:val="5BD0382F"/>
    <w:rsid w:val="5BD26D32"/>
    <w:rsid w:val="5E455219"/>
    <w:rsid w:val="5F802CBB"/>
    <w:rsid w:val="5FB160C7"/>
    <w:rsid w:val="629F065A"/>
    <w:rsid w:val="62F97A6F"/>
    <w:rsid w:val="636D1FAC"/>
    <w:rsid w:val="65C8438A"/>
    <w:rsid w:val="6AF82A0D"/>
    <w:rsid w:val="6BC6435F"/>
    <w:rsid w:val="6C8579DD"/>
    <w:rsid w:val="6E563714"/>
    <w:rsid w:val="6FCD41FA"/>
    <w:rsid w:val="70030E51"/>
    <w:rsid w:val="71C54335"/>
    <w:rsid w:val="72F37AC7"/>
    <w:rsid w:val="742F0F2B"/>
    <w:rsid w:val="7C5D3714"/>
    <w:rsid w:val="7CB00FA0"/>
    <w:rsid w:val="7E5C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F5431"/>
  <w15:docId w15:val="{B1F5A1A2-B5DF-41B2-A895-7214594B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华文仿宋" w:hAnsi="宋体"/>
      <w:kern w:val="2"/>
      <w:sz w:val="32"/>
      <w:szCs w:val="3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eastAsia="宋体" w:hAnsi="Calibr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paragraph" w:customStyle="1" w:styleId="10">
    <w:name w:val="列出段落1"/>
    <w:basedOn w:val="a"/>
    <w:uiPriority w:val="34"/>
    <w:qFormat/>
    <w:pPr>
      <w:ind w:firstLineChars="200" w:firstLine="420"/>
    </w:p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semiHidden/>
    <w:qFormat/>
    <w:rPr>
      <w:rFonts w:ascii="宋体" w:eastAsia="华文仿宋" w:hAnsi="宋体"/>
      <w:kern w:val="2"/>
      <w:sz w:val="18"/>
      <w:szCs w:val="18"/>
    </w:rPr>
  </w:style>
  <w:style w:type="paragraph" w:styleId="a9">
    <w:name w:val="Revision"/>
    <w:hidden/>
    <w:uiPriority w:val="99"/>
    <w:unhideWhenUsed/>
    <w:rsid w:val="00FA45EF"/>
    <w:rPr>
      <w:rFonts w:ascii="宋体" w:eastAsia="华文仿宋" w:hAnsi="宋体"/>
      <w:kern w:val="2"/>
      <w:sz w:val="32"/>
      <w:szCs w:val="32"/>
    </w:rPr>
  </w:style>
  <w:style w:type="character" w:styleId="aa">
    <w:name w:val="annotation reference"/>
    <w:basedOn w:val="a0"/>
    <w:semiHidden/>
    <w:unhideWhenUsed/>
    <w:rsid w:val="003B6591"/>
    <w:rPr>
      <w:sz w:val="21"/>
      <w:szCs w:val="21"/>
    </w:rPr>
  </w:style>
  <w:style w:type="paragraph" w:styleId="ab">
    <w:name w:val="annotation text"/>
    <w:basedOn w:val="a"/>
    <w:link w:val="ac"/>
    <w:semiHidden/>
    <w:unhideWhenUsed/>
    <w:rsid w:val="003B6591"/>
    <w:pPr>
      <w:jc w:val="left"/>
    </w:pPr>
  </w:style>
  <w:style w:type="character" w:customStyle="1" w:styleId="ac">
    <w:name w:val="批注文字 字符"/>
    <w:basedOn w:val="a0"/>
    <w:link w:val="ab"/>
    <w:semiHidden/>
    <w:rsid w:val="003B6591"/>
    <w:rPr>
      <w:rFonts w:ascii="宋体" w:eastAsia="华文仿宋" w:hAnsi="宋体"/>
      <w:kern w:val="2"/>
      <w:sz w:val="32"/>
      <w:szCs w:val="32"/>
    </w:rPr>
  </w:style>
  <w:style w:type="paragraph" w:styleId="ad">
    <w:name w:val="annotation subject"/>
    <w:basedOn w:val="ab"/>
    <w:next w:val="ab"/>
    <w:link w:val="ae"/>
    <w:semiHidden/>
    <w:unhideWhenUsed/>
    <w:rsid w:val="003B6591"/>
    <w:rPr>
      <w:b/>
      <w:bCs/>
    </w:rPr>
  </w:style>
  <w:style w:type="character" w:customStyle="1" w:styleId="ae">
    <w:name w:val="批注主题 字符"/>
    <w:basedOn w:val="ac"/>
    <w:link w:val="ad"/>
    <w:semiHidden/>
    <w:rsid w:val="003B6591"/>
    <w:rPr>
      <w:rFonts w:ascii="宋体" w:eastAsia="华文仿宋" w:hAnsi="宋体"/>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097E3-1FC8-8349-AD61-78037C54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矿物加工科学与技术国家重点实验室</dc:title>
  <dc:creator>DADI</dc:creator>
  <cp:lastModifiedBy>zhao jianjun</cp:lastModifiedBy>
  <cp:revision>2</cp:revision>
  <cp:lastPrinted>2023-08-03T08:40:00Z</cp:lastPrinted>
  <dcterms:created xsi:type="dcterms:W3CDTF">2023-08-04T00:23:00Z</dcterms:created>
  <dcterms:modified xsi:type="dcterms:W3CDTF">2023-08-04T00:23:00Z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